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CAB2A5" w14:textId="270DA4FE" w:rsidR="00C023BF" w:rsidRPr="00C023BF" w:rsidRDefault="00C023BF" w:rsidP="00C023BF">
      <w:pPr>
        <w:ind w:left="1890" w:hanging="1890"/>
        <w:rPr>
          <w:rFonts w:ascii="Verdana" w:hAnsi="Verdana"/>
          <w:color w:val="00B050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Lição 1.2.5 </w:t>
      </w:r>
      <w:r>
        <w:rPr>
          <w:rFonts w:ascii="Verdana" w:hAnsi="Verdana"/>
          <w:color w:val="000000" w:themeColor="text1"/>
          <w:sz w:val="28"/>
          <w:szCs w:val="28"/>
        </w:rPr>
        <w:t xml:space="preserve">Habilidades de Formação - Comunicação </w:t>
      </w:r>
      <w:proofErr w:type="spellStart"/>
      <w:proofErr w:type="gramStart"/>
      <w:r>
        <w:rPr>
          <w:rFonts w:ascii="Verdana" w:hAnsi="Verdana"/>
          <w:color w:val="000000" w:themeColor="text1"/>
          <w:sz w:val="28"/>
          <w:szCs w:val="28"/>
        </w:rPr>
        <w:t>verbal/não</w:t>
      </w:r>
      <w:proofErr w:type="spellEnd"/>
      <w:proofErr w:type="gramEnd"/>
      <w:r>
        <w:rPr>
          <w:rFonts w:ascii="Verdana" w:hAnsi="Verdana"/>
          <w:color w:val="000000" w:themeColor="text1"/>
          <w:sz w:val="28"/>
          <w:szCs w:val="28"/>
        </w:rPr>
        <w:t xml:space="preserve"> verbal</w:t>
      </w:r>
    </w:p>
    <w:p w14:paraId="0A3DD02D" w14:textId="77777777" w:rsidR="00D82C18" w:rsidRPr="00D82C18" w:rsidRDefault="00D82C18">
      <w:pPr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D82C18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356073F9" w:rsidR="00D82C18" w:rsidRPr="00D82C18" w:rsidRDefault="00D82C18" w:rsidP="00C023BF">
            <w:pPr>
              <w:ind w:left="1510" w:hanging="1510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Lição 1.2.5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Habilidades de Formação - Comunicação </w:t>
            </w:r>
            <w:proofErr w:type="spellStart"/>
            <w:proofErr w:type="gramStart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verbal/não</w:t>
            </w:r>
            <w:proofErr w:type="spellEnd"/>
            <w:proofErr w:type="gramEnd"/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verbal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1417031C" w:rsidR="00D82C18" w:rsidRPr="00D82C18" w:rsidRDefault="00D82C18" w:rsidP="00C023B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60 minutos</w:t>
            </w:r>
          </w:p>
        </w:tc>
      </w:tr>
      <w:tr w:rsidR="00E7344B" w:rsidRPr="00D82C18" w14:paraId="7C1107AB" w14:textId="77777777" w:rsidTr="00C023BF">
        <w:trPr>
          <w:trHeight w:val="3842"/>
        </w:trPr>
        <w:tc>
          <w:tcPr>
            <w:tcW w:w="9010" w:type="dxa"/>
            <w:gridSpan w:val="3"/>
            <w:vAlign w:val="center"/>
          </w:tcPr>
          <w:p w14:paraId="0B1C3404" w14:textId="51DEF814" w:rsidR="00E7344B" w:rsidRPr="00A03CF0" w:rsidRDefault="00E7344B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14:paraId="3E3ADEA0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proofErr w:type="spellStart"/>
            <w:r>
              <w:rPr>
                <w:color w:val="000000" w:themeColor="text1"/>
                <w:szCs w:val="18"/>
              </w:rPr>
              <w:t>PC/computador</w:t>
            </w:r>
            <w:proofErr w:type="spellEnd"/>
            <w:r>
              <w:rPr>
                <w:color w:val="000000" w:themeColor="text1"/>
                <w:szCs w:val="18"/>
              </w:rPr>
              <w:t xml:space="preserve"> portátil com versões de software compatíveis com os materiais preparados</w:t>
            </w:r>
          </w:p>
          <w:p w14:paraId="737B8760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14:paraId="65055340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Acesso à Internet (se disponível). </w:t>
            </w:r>
          </w:p>
          <w:p w14:paraId="1857B550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Exemplos de hardware de computador (se disponível). </w:t>
            </w:r>
          </w:p>
          <w:p w14:paraId="77D38996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14:paraId="0952434B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14:paraId="33EC5B34" w14:textId="77777777" w:rsidR="00E7344B" w:rsidRPr="00C023B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14:paraId="0D73B442" w14:textId="77777777" w:rsidR="00E7344B" w:rsidRPr="006E170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Bloco de notas de estudante e canetas.</w:t>
            </w:r>
          </w:p>
          <w:p w14:paraId="2AD6FDB4" w14:textId="77777777" w:rsidR="00F62A15" w:rsidRPr="006E170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Agrafador, furador e tesouras.</w:t>
            </w:r>
          </w:p>
          <w:p w14:paraId="4535EFC0" w14:textId="77777777" w:rsidR="00E7344B" w:rsidRPr="006E170F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Fita ou um produto semelhante para permitir a fixação de papéis temporariamente na parede.</w:t>
            </w:r>
          </w:p>
          <w:p w14:paraId="5CFE7FF7" w14:textId="77777777" w:rsidR="006E170F" w:rsidRPr="006E170F" w:rsidRDefault="006E170F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1.2.5 - Cartões para exercício de comportamento não verbal</w:t>
            </w:r>
          </w:p>
          <w:p w14:paraId="77D28CEB" w14:textId="7E0E1894" w:rsidR="006E170F" w:rsidRPr="006E170F" w:rsidRDefault="006E170F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1.2.5 - Documento de Exercício para contacto visual</w:t>
            </w:r>
          </w:p>
          <w:p w14:paraId="56DC8467" w14:textId="4B42510A" w:rsidR="006E170F" w:rsidRPr="006E170F" w:rsidRDefault="006E170F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1.2.5 - Agrupar ou não o seu documento de exercício</w:t>
            </w:r>
          </w:p>
          <w:p w14:paraId="676BE532" w14:textId="4EEF6CE2" w:rsidR="006E170F" w:rsidRPr="006E170F" w:rsidRDefault="006E170F" w:rsidP="006E170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1.2.5 - Documento de exercício de comportamento não verbal</w:t>
            </w:r>
          </w:p>
          <w:p w14:paraId="0D6EB9FB" w14:textId="3E750EE8" w:rsidR="006E170F" w:rsidRPr="006E170F" w:rsidRDefault="006E170F" w:rsidP="006E170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Sessão 1.2.5 - Documento de Exercício de leitura</w:t>
            </w:r>
          </w:p>
          <w:p w14:paraId="14CF9EF0" w14:textId="75F884F2" w:rsidR="006E170F" w:rsidRPr="00F62A15" w:rsidRDefault="006E170F" w:rsidP="006E170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rPr>
                <w:color w:val="000000" w:themeColor="text1"/>
                <w:szCs w:val="18"/>
              </w:rPr>
              <w:t>Sessão 1.2.5 - Documento de Exercício de voz e gestos</w:t>
            </w:r>
          </w:p>
        </w:tc>
      </w:tr>
      <w:tr w:rsidR="00E7344B" w:rsidRPr="00D82C18" w14:paraId="635F2EFD" w14:textId="77777777" w:rsidTr="006E170F">
        <w:trPr>
          <w:trHeight w:val="1223"/>
        </w:trPr>
        <w:tc>
          <w:tcPr>
            <w:tcW w:w="9010" w:type="dxa"/>
            <w:gridSpan w:val="3"/>
            <w:vAlign w:val="center"/>
          </w:tcPr>
          <w:p w14:paraId="34602AF3" w14:textId="0FDAE948" w:rsidR="00A03CF0" w:rsidRDefault="00A03CF0" w:rsidP="00CE0BD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762B4C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3FE58655" w14:textId="559F51B0" w:rsidR="00A03CF0" w:rsidRPr="006E170F" w:rsidRDefault="006E170F" w:rsidP="00CE0BD5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objetivo desta sessão é demonstrar técnicas de apresentação melhoradas que envolvem os participantes e mantêm a sua atenção.</w:t>
            </w:r>
          </w:p>
        </w:tc>
      </w:tr>
      <w:tr w:rsidR="00A03CF0" w:rsidRPr="00D82C18" w14:paraId="1B5A80A7" w14:textId="77777777" w:rsidTr="008364C0">
        <w:trPr>
          <w:trHeight w:val="143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CE0BD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370FD755" w14:textId="77777777" w:rsidR="00CE0BD5" w:rsidRPr="00CE0BD5" w:rsidRDefault="00CE0BD5" w:rsidP="00CE0BD5">
            <w:pPr>
              <w:tabs>
                <w:tab w:val="left" w:pos="426"/>
                <w:tab w:val="left" w:pos="851"/>
              </w:tabs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final da sessão, os delegados serão capazes de:</w:t>
            </w:r>
          </w:p>
          <w:p w14:paraId="6C508991" w14:textId="77777777" w:rsidR="00CE0BD5" w:rsidRDefault="00CE0BD5" w:rsidP="00CE0BD5">
            <w:pPr>
              <w:pStyle w:val="bul1"/>
              <w:spacing w:after="120" w:line="280" w:lineRule="exact"/>
              <w:ind w:left="850" w:hanging="850"/>
              <w:contextualSpacing/>
              <w:rPr>
                <w:szCs w:val="18"/>
              </w:rPr>
            </w:pPr>
            <w:r>
              <w:t xml:space="preserve">Demonstrar técnicas aprimoradas de voz, gesto e contacto visual </w:t>
            </w:r>
          </w:p>
          <w:p w14:paraId="61ABEAC5" w14:textId="68BA6B0C" w:rsidR="00E95703" w:rsidRPr="00CE0BD5" w:rsidRDefault="00CE0BD5" w:rsidP="00CE0BD5">
            <w:pPr>
              <w:pStyle w:val="bul1"/>
              <w:spacing w:after="120" w:line="280" w:lineRule="exact"/>
              <w:ind w:left="850" w:hanging="850"/>
              <w:contextualSpacing/>
              <w:rPr>
                <w:szCs w:val="18"/>
              </w:rPr>
            </w:pPr>
            <w:r>
              <w:t>Envolver p seu público e manter a atenção</w:t>
            </w:r>
          </w:p>
        </w:tc>
      </w:tr>
      <w:tr w:rsidR="005703B7" w:rsidRPr="00D82C18" w14:paraId="03110757" w14:textId="77777777" w:rsidTr="00E13BE7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CE0BD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Guia de formação</w:t>
            </w:r>
          </w:p>
          <w:p w14:paraId="5EFF4BEF" w14:textId="3A09B137" w:rsidR="00E95703" w:rsidRPr="000A65D5" w:rsidRDefault="00CE0BD5" w:rsidP="000A65D5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Esta sessão foi projetada para ser basicamente prática, utilizando os ficheiros de suporte para auxiliar os delegados. O formador deve garantir que eles estejam familiarizados com os exercícios antes do curso. Dependendo do número de delegados, pode ser necessário limitar o uso dos exercícios. É importante, portanto, garantir que todos os delegados têm a oportunidade de participar em pelo menos um dos exercícios. </w:t>
            </w:r>
            <w:r>
              <w:rPr>
                <w:rFonts w:ascii="Verdana" w:hAnsi="Verdana"/>
                <w:sz w:val="18"/>
                <w:szCs w:val="18"/>
              </w:rPr>
              <w:t>Os exercícios são projetados para mostrar aos delegados, por exemplo, como até as expressões faciais podem transmitir como o formador ou os alunos estão realmente a sentir-se enquanto dizem outra coisa.</w:t>
            </w:r>
          </w:p>
        </w:tc>
      </w:tr>
      <w:tr w:rsidR="005A4E47" w:rsidRPr="00D82C18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Conteúdo da aula</w:t>
            </w:r>
          </w:p>
        </w:tc>
      </w:tr>
      <w:tr w:rsidR="00CB3026" w:rsidRPr="00D82C18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CB3026" w:rsidRPr="00D82C18" w14:paraId="11A12D7E" w14:textId="77777777" w:rsidTr="00CB3026">
        <w:tc>
          <w:tcPr>
            <w:tcW w:w="1615" w:type="dxa"/>
            <w:vAlign w:val="center"/>
          </w:tcPr>
          <w:p w14:paraId="67EEEDE0" w14:textId="77777777" w:rsidR="00D82C18" w:rsidRDefault="003630ED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1 </w:t>
            </w:r>
          </w:p>
          <w:p w14:paraId="5A89CF27" w14:textId="542890F3" w:rsidR="002F0D73" w:rsidRPr="00F62A15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574F7074" w:rsidR="003630ED" w:rsidRPr="008364C0" w:rsidRDefault="008364C0" w:rsidP="000A65D5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 sessão tem o objetivo específico de delinear e demonstrar a comunicação verbal e não verbal, com vista a ajudar os formadores a envolverem-se e manter a atenção do público.</w:t>
            </w:r>
            <w:r w:rsidR="00762B4C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8364C0" w:rsidRPr="00D82C18" w14:paraId="254DC1C6" w14:textId="77777777" w:rsidTr="008364C0">
        <w:trPr>
          <w:trHeight w:val="2375"/>
        </w:trPr>
        <w:tc>
          <w:tcPr>
            <w:tcW w:w="1615" w:type="dxa"/>
            <w:vAlign w:val="center"/>
          </w:tcPr>
          <w:p w14:paraId="60450B25" w14:textId="77777777" w:rsidR="008364C0" w:rsidRDefault="008364C0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  <w:p w14:paraId="79163487" w14:textId="53C96554" w:rsidR="002F0D73" w:rsidRPr="008364C0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45C4AA40" w14:textId="6C601B42" w:rsidR="008364C0" w:rsidRPr="008364C0" w:rsidRDefault="008364C0" w:rsidP="000A65D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objetivos para esta sessão em particular são explicados aos delegados, estas são as coisas que o delegado deve ser capaz de fazer no final da sessão. Estes objetivos podem ser utilizado</w:t>
            </w:r>
            <w:r w:rsidR="00590868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para testar o conhecimento obtido e permitir que os delegados avaliem a formação. Para esta sessão, os delegados devem ser capazes de:</w:t>
            </w:r>
          </w:p>
          <w:p w14:paraId="20C656BA" w14:textId="77777777" w:rsidR="008364C0" w:rsidRDefault="008364C0" w:rsidP="000A65D5">
            <w:pPr>
              <w:pStyle w:val="PargrafodaLista"/>
              <w:numPr>
                <w:ilvl w:val="0"/>
                <w:numId w:val="10"/>
              </w:numPr>
              <w:spacing w:after="120"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Demonstrar técnicas aprimoradas de voz, gesto e contacto visual </w:t>
            </w:r>
          </w:p>
          <w:p w14:paraId="63EA0EFC" w14:textId="73F9D40A" w:rsidR="008364C0" w:rsidRPr="008364C0" w:rsidRDefault="008364C0" w:rsidP="000A65D5">
            <w:pPr>
              <w:pStyle w:val="PargrafodaLista"/>
              <w:numPr>
                <w:ilvl w:val="0"/>
                <w:numId w:val="10"/>
              </w:numPr>
              <w:spacing w:after="120"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Envolver p seu público e manter a atenção</w:t>
            </w:r>
          </w:p>
        </w:tc>
      </w:tr>
      <w:tr w:rsidR="008364C0" w:rsidRPr="00D82C18" w14:paraId="5303E9B1" w14:textId="77777777" w:rsidTr="000A65D5">
        <w:trPr>
          <w:trHeight w:val="2042"/>
        </w:trPr>
        <w:tc>
          <w:tcPr>
            <w:tcW w:w="1615" w:type="dxa"/>
            <w:vAlign w:val="center"/>
          </w:tcPr>
          <w:p w14:paraId="70412E04" w14:textId="77777777" w:rsidR="008364C0" w:rsidRDefault="008364C0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  <w:p w14:paraId="3CAC3B77" w14:textId="0F8F3BE1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44399424" w14:textId="253F2BB6" w:rsidR="008364C0" w:rsidRPr="008364C0" w:rsidRDefault="008364C0" w:rsidP="000A65D5">
            <w:pPr>
              <w:tabs>
                <w:tab w:val="left" w:pos="426"/>
                <w:tab w:val="left" w:pos="851"/>
              </w:tabs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apresenta os delegados aos exercícios que serão realizados durante a sessão.</w:t>
            </w:r>
          </w:p>
          <w:p w14:paraId="6FF4F461" w14:textId="77777777" w:rsidR="008364C0" w:rsidRPr="008364C0" w:rsidRDefault="008364C0" w:rsidP="000A65D5">
            <w:pPr>
              <w:pStyle w:val="PargrafodaLista"/>
              <w:numPr>
                <w:ilvl w:val="0"/>
                <w:numId w:val="11"/>
              </w:numPr>
              <w:spacing w:after="120"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Leitura</w:t>
            </w:r>
          </w:p>
          <w:p w14:paraId="23501C22" w14:textId="77777777" w:rsidR="008364C0" w:rsidRPr="008364C0" w:rsidRDefault="008364C0" w:rsidP="000A65D5">
            <w:pPr>
              <w:pStyle w:val="PargrafodaLista"/>
              <w:numPr>
                <w:ilvl w:val="0"/>
                <w:numId w:val="11"/>
              </w:numPr>
              <w:spacing w:after="120"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Voz e gestos</w:t>
            </w:r>
          </w:p>
          <w:p w14:paraId="5D851B08" w14:textId="77777777" w:rsidR="008364C0" w:rsidRDefault="008364C0" w:rsidP="000A65D5">
            <w:pPr>
              <w:pStyle w:val="PargrafodaLista"/>
              <w:numPr>
                <w:ilvl w:val="0"/>
                <w:numId w:val="11"/>
              </w:numPr>
              <w:spacing w:after="120"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Contacto visual</w:t>
            </w:r>
          </w:p>
          <w:p w14:paraId="36721E5F" w14:textId="566AE0C4" w:rsidR="008364C0" w:rsidRPr="008364C0" w:rsidRDefault="008364C0" w:rsidP="000A65D5">
            <w:pPr>
              <w:pStyle w:val="PargrafodaLista"/>
              <w:numPr>
                <w:ilvl w:val="0"/>
                <w:numId w:val="11"/>
              </w:numPr>
              <w:spacing w:after="120" w:line="280" w:lineRule="exac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Comportamento não verbal</w:t>
            </w:r>
          </w:p>
        </w:tc>
      </w:tr>
      <w:tr w:rsidR="008364C0" w:rsidRPr="00D82C18" w14:paraId="191398A0" w14:textId="77777777" w:rsidTr="000A65D5">
        <w:trPr>
          <w:trHeight w:val="737"/>
        </w:trPr>
        <w:tc>
          <w:tcPr>
            <w:tcW w:w="1615" w:type="dxa"/>
            <w:vAlign w:val="center"/>
          </w:tcPr>
          <w:p w14:paraId="04F8D3ED" w14:textId="77777777" w:rsidR="008364C0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  <w:p w14:paraId="135B76DF" w14:textId="58E6CC84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36EC0F4C" w14:textId="01C40C02" w:rsidR="008364C0" w:rsidRPr="008364C0" w:rsidRDefault="000A65D5" w:rsidP="000A65D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funciona como uma introdução aos exercícios que se seguirão. O formador dará aos alunos as instruções para os exercícios.</w:t>
            </w:r>
          </w:p>
        </w:tc>
      </w:tr>
      <w:tr w:rsidR="008364C0" w:rsidRPr="00D82C18" w14:paraId="3C53670A" w14:textId="77777777" w:rsidTr="00CB3026">
        <w:tc>
          <w:tcPr>
            <w:tcW w:w="1615" w:type="dxa"/>
            <w:vAlign w:val="center"/>
          </w:tcPr>
          <w:p w14:paraId="2940BE3E" w14:textId="77777777" w:rsidR="008364C0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</w:p>
          <w:p w14:paraId="6F66E55D" w14:textId="33CF25A5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597A1A64" w14:textId="56ACA6AF" w:rsidR="008364C0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 exercício em grupo, um aluno é convidado a ler, tentando incorporar os vários assuntos enumerados no seu estilo de leitura. O líder da discussão deve permanecer neutro, mas angariar opiniões dos outros membros do grupo.</w:t>
            </w:r>
          </w:p>
        </w:tc>
      </w:tr>
      <w:tr w:rsidR="008364C0" w:rsidRPr="00D82C18" w14:paraId="62714FFA" w14:textId="77777777" w:rsidTr="00CB3026">
        <w:tc>
          <w:tcPr>
            <w:tcW w:w="1615" w:type="dxa"/>
            <w:vAlign w:val="center"/>
          </w:tcPr>
          <w:p w14:paraId="2CE3EB9B" w14:textId="77777777" w:rsidR="008364C0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  <w:p w14:paraId="66A4B602" w14:textId="3ED269C8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32D04F6B" w14:textId="77777777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instrui o grupo que trabalha a partir da folha de exercícios, eles devem selecionar uma das 14 leituras, escolher uma que acharão prazerosa ou desafiadora, ou uma que permita que pratiquem algo que desejem melhorar.</w:t>
            </w:r>
          </w:p>
          <w:p w14:paraId="7C838C1E" w14:textId="77777777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Cada pessoa, por sua vez, lê em voz alta a seleção que escolheu.</w:t>
            </w:r>
          </w:p>
          <w:p w14:paraId="5DA34957" w14:textId="77777777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Após cada leitura, a pessoa à direita do leitor conduz uma discussão </w:t>
            </w:r>
          </w:p>
          <w:p w14:paraId="57E76096" w14:textId="2AE87266" w:rsidR="008364C0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Se o leitor, ou o grupo, quiser que o leitor pode ler a peça novamente. </w:t>
            </w:r>
          </w:p>
        </w:tc>
      </w:tr>
      <w:tr w:rsidR="008364C0" w:rsidRPr="00D82C18" w14:paraId="12544416" w14:textId="77777777" w:rsidTr="00CB3026">
        <w:tc>
          <w:tcPr>
            <w:tcW w:w="1615" w:type="dxa"/>
            <w:vAlign w:val="center"/>
          </w:tcPr>
          <w:p w14:paraId="2930FAA5" w14:textId="77777777" w:rsidR="008364C0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</w:p>
          <w:p w14:paraId="301622D5" w14:textId="570C4F60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5C430644" w14:textId="368B7C02" w:rsidR="008364C0" w:rsidRPr="000A65D5" w:rsidRDefault="000A65D5" w:rsidP="00CB302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instrui os grupos que cada aluno deve selecionar várias das afirmações da lista de 14 na folha de exercícios (pelo menos de dois a três). Eles devem decidir onde colocar a ênfase em cada afirmação.</w:t>
            </w:r>
            <w:r w:rsidR="00762B4C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Depois pensar em dois gestos, um grande e um pequeno, que ajudariam nessa ênfase. </w:t>
            </w:r>
          </w:p>
        </w:tc>
      </w:tr>
      <w:tr w:rsidR="000A65D5" w:rsidRPr="00D82C18" w14:paraId="4103D234" w14:textId="77777777" w:rsidTr="000A65D5">
        <w:trPr>
          <w:trHeight w:val="818"/>
        </w:trPr>
        <w:tc>
          <w:tcPr>
            <w:tcW w:w="1615" w:type="dxa"/>
            <w:vAlign w:val="center"/>
          </w:tcPr>
          <w:p w14:paraId="0E4E0200" w14:textId="77777777" w:rsidR="000A65D5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  <w:p w14:paraId="078220A0" w14:textId="61AF7198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262A54CC" w14:textId="316027DA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Utilizar a mesma folha de exercícios, durante a discussão de feedback, os alunos devem observar como as categorias no slide são explicadas.</w:t>
            </w:r>
          </w:p>
        </w:tc>
      </w:tr>
      <w:tr w:rsidR="000A65D5" w:rsidRPr="00D82C18" w14:paraId="75CBCB1C" w14:textId="77777777" w:rsidTr="000A65D5">
        <w:trPr>
          <w:trHeight w:val="539"/>
        </w:trPr>
        <w:tc>
          <w:tcPr>
            <w:tcW w:w="1615" w:type="dxa"/>
            <w:vAlign w:val="center"/>
          </w:tcPr>
          <w:p w14:paraId="22A5CBE2" w14:textId="77777777" w:rsidR="000A65D5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  <w:p w14:paraId="3AA762D9" w14:textId="4D8B53A6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4287FB98" w14:textId="358F2B7C" w:rsidR="000A65D5" w:rsidRPr="000A65D5" w:rsidRDefault="000A65D5" w:rsidP="00CB302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instrui os delegados que o contacto visual é uma das ferramentas mais fortes que os formadores têm à sua disposição. Eles devem começar o exercício de cada pessoa em pé à frente do grupo. Lembrando o que foi dito sobre o contacto visual, olhe de pessoa em pessoa. Mova-se à volta da mesa, se desejar. Passe de dois a três segundos com cada pessoa, depois mude aleatoriamente para outra, etc. Não diga nada e pense em olhar para todos.</w:t>
            </w:r>
            <w:r w:rsidR="00762B4C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Se realmente tiver necessidade de falar, conte em voz alta. Quando acha que olhou para todos duas vezes, diga "Concluído". Cada membro do grupo que pensa que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não olhou duas vezes, levanta as mãos para indicar "sentiu a minha falta". Este exercício irá dizer a cada pessoa se têm um ponto cego para a direita ou esquerda que devem trabalhar. </w:t>
            </w:r>
          </w:p>
        </w:tc>
      </w:tr>
      <w:tr w:rsidR="000A65D5" w:rsidRPr="00D82C18" w14:paraId="34645683" w14:textId="77777777" w:rsidTr="00CB3026">
        <w:tc>
          <w:tcPr>
            <w:tcW w:w="1615" w:type="dxa"/>
            <w:vAlign w:val="center"/>
          </w:tcPr>
          <w:p w14:paraId="7514EA22" w14:textId="77777777" w:rsidR="000A65D5" w:rsidRDefault="000A65D5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10</w:t>
            </w:r>
          </w:p>
          <w:p w14:paraId="263BE9A9" w14:textId="3E670A98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7063A57A" w14:textId="622CD851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 exercício começa por pedir aos delegados que sugiram aspetos do comportamento não verbal. </w:t>
            </w:r>
          </w:p>
          <w:p w14:paraId="0501F26F" w14:textId="58E401D6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Eles começam por um exercício que proporciona prática em reconhecer e reagir positivamente ao comportamento não verbal dos aprendizes. Cada pessoa faz uma palestra de dois minutos sobre um assunto favorito para o grupo. </w:t>
            </w:r>
          </w:p>
          <w:p w14:paraId="3932A935" w14:textId="50840C89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membros do grupo que não fazem a apresentação, cada um pega num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 xml:space="preserve"> cartão que especifica um comportamento não verbal. Durante a palestra, eles vão agir com esse comportamento. </w:t>
            </w:r>
          </w:p>
          <w:p w14:paraId="7003A69A" w14:textId="55B86BF8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Durante a palestra, o apresentador tentará identificar e lembrar quantos comportamentos não verbais mostrados pelo grupo são possíveis. Eles também irão tentar utilizar o seu próprio comportamento não verbal de modo a encorajar os seus ouvintes a mudar qualquer comportamento negativo.</w:t>
            </w:r>
          </w:p>
          <w:p w14:paraId="4DFEDB3E" w14:textId="3A061392" w:rsidR="000A65D5" w:rsidRPr="000A65D5" w:rsidRDefault="000A65D5" w:rsidP="000A65D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Após a palestra, o apresentador descreve os comportamentos não verbais que ele ou ela observaram. Cada pessoa dirá que comportamento foi especificado no seu cartão. </w:t>
            </w:r>
          </w:p>
          <w:p w14:paraId="637FAEDE" w14:textId="63A8CF9E" w:rsidR="000A65D5" w:rsidRPr="000A65D5" w:rsidRDefault="000A65D5" w:rsidP="00CB302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membros do grupo também darão ao orador feedback sobre se os não verbais do orador conseguiram afetar positivamente o seu comportamento ao longo da apresentação. </w:t>
            </w:r>
          </w:p>
        </w:tc>
      </w:tr>
      <w:tr w:rsidR="000A65D5" w:rsidRPr="00D82C18" w14:paraId="59090733" w14:textId="77777777" w:rsidTr="00652012">
        <w:trPr>
          <w:trHeight w:val="1061"/>
        </w:trPr>
        <w:tc>
          <w:tcPr>
            <w:tcW w:w="1615" w:type="dxa"/>
            <w:vAlign w:val="center"/>
          </w:tcPr>
          <w:p w14:paraId="120E46F5" w14:textId="77777777" w:rsidR="000A65D5" w:rsidRDefault="00652012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</w:t>
            </w:r>
          </w:p>
          <w:p w14:paraId="1637FF85" w14:textId="48C4E165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6889FC95" w14:textId="77777777" w:rsidR="00652012" w:rsidRPr="00652012" w:rsidRDefault="00652012" w:rsidP="00652012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agora recapitular que os delegados são capazes de:</w:t>
            </w:r>
          </w:p>
          <w:p w14:paraId="1265AF55" w14:textId="77777777" w:rsidR="00652012" w:rsidRDefault="00652012" w:rsidP="00652012">
            <w:pPr>
              <w:pStyle w:val="PargrafodaLista"/>
              <w:numPr>
                <w:ilvl w:val="0"/>
                <w:numId w:val="10"/>
              </w:numPr>
              <w:spacing w:line="260" w:lineRule="atLeas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Demonstrar técnicas aprimoradas de voz, gesto e contacto visual</w:t>
            </w:r>
          </w:p>
          <w:p w14:paraId="7D524AB5" w14:textId="6204115D" w:rsidR="000A65D5" w:rsidRPr="00652012" w:rsidRDefault="00652012" w:rsidP="00652012">
            <w:pPr>
              <w:pStyle w:val="PargrafodaLista"/>
              <w:numPr>
                <w:ilvl w:val="0"/>
                <w:numId w:val="10"/>
              </w:numPr>
              <w:spacing w:line="260" w:lineRule="atLeast"/>
              <w:ind w:left="3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Envolver p seu público e manter a atenção</w:t>
            </w:r>
          </w:p>
        </w:tc>
      </w:tr>
      <w:tr w:rsidR="000A65D5" w:rsidRPr="00D82C18" w14:paraId="0AF50579" w14:textId="77777777" w:rsidTr="00CB3026">
        <w:tc>
          <w:tcPr>
            <w:tcW w:w="1615" w:type="dxa"/>
            <w:vAlign w:val="center"/>
          </w:tcPr>
          <w:p w14:paraId="4407C8F7" w14:textId="77777777" w:rsidR="000A65D5" w:rsidRDefault="00652012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  <w:p w14:paraId="4A661CB3" w14:textId="79B58D6F" w:rsidR="002F0D73" w:rsidRDefault="002F0D73" w:rsidP="008364C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4A67CB74" w14:textId="3B51FAFE" w:rsidR="000A65D5" w:rsidRPr="00652012" w:rsidRDefault="00652012" w:rsidP="00CB3026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slide deve ser utilizado pelos instrutores para abordar quaisquer questões finais levantadas pela turma e introduzir quaisquer áreas que o instrutor considere que necessitam de ser enfatizadas antes do final da sessão.</w:t>
            </w:r>
          </w:p>
        </w:tc>
      </w:tr>
      <w:tr w:rsidR="00CB3026" w:rsidRPr="00D82C18" w14:paraId="2ECF09B7" w14:textId="77777777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14:paraId="04D65D89" w14:textId="38DFDED5" w:rsidR="00CB3026" w:rsidRPr="00652012" w:rsidRDefault="00652012" w:rsidP="00652012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exercícios práticos desta sessão destinam-se a estimular a discussão sobre os tópicos da sessão. Todos os exercícios estão bem documentados com instruções claras sobre como estes devem ser realizados.</w:t>
            </w:r>
          </w:p>
        </w:tc>
      </w:tr>
      <w:tr w:rsidR="00CB3026" w:rsidRPr="00D82C18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14:paraId="4496975B" w14:textId="1B81E0EE" w:rsidR="00CB3026" w:rsidRPr="00652012" w:rsidRDefault="00652012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avaliar os conhecimentos e compreensão através de perguntas relevantes durante cada um dos aspetos da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0A65D5">
      <w:pgSz w:w="11900" w:h="16840"/>
      <w:pgMar w:top="783" w:right="13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60AB3"/>
    <w:multiLevelType w:val="hybridMultilevel"/>
    <w:tmpl w:val="297A8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C524F"/>
    <w:multiLevelType w:val="hybridMultilevel"/>
    <w:tmpl w:val="D91E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E5DD9"/>
    <w:multiLevelType w:val="hybridMultilevel"/>
    <w:tmpl w:val="10644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A65D5"/>
    <w:rsid w:val="00271010"/>
    <w:rsid w:val="002F0D73"/>
    <w:rsid w:val="003630ED"/>
    <w:rsid w:val="005703B7"/>
    <w:rsid w:val="00590868"/>
    <w:rsid w:val="005A4E47"/>
    <w:rsid w:val="00652012"/>
    <w:rsid w:val="006E170F"/>
    <w:rsid w:val="00762B4C"/>
    <w:rsid w:val="008364C0"/>
    <w:rsid w:val="008E3FE7"/>
    <w:rsid w:val="00A03CF0"/>
    <w:rsid w:val="00A4110D"/>
    <w:rsid w:val="00A734A5"/>
    <w:rsid w:val="00C023BF"/>
    <w:rsid w:val="00C541A2"/>
    <w:rsid w:val="00CB02C4"/>
    <w:rsid w:val="00CB3026"/>
    <w:rsid w:val="00CE0BD5"/>
    <w:rsid w:val="00D82C18"/>
    <w:rsid w:val="00E13BE7"/>
    <w:rsid w:val="00E7344B"/>
    <w:rsid w:val="00E95703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C023BF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Cabealho">
    <w:name w:val="header"/>
    <w:basedOn w:val="Normal"/>
    <w:link w:val="CabealhoCarter"/>
    <w:rsid w:val="00CE0BD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CabealhoCarter">
    <w:name w:val="Cabeçalho Caráter"/>
    <w:basedOn w:val="Tipodeletrapredefinidodopargrafo"/>
    <w:link w:val="Cabealho"/>
    <w:rsid w:val="00CE0BD5"/>
    <w:rPr>
      <w:rFonts w:ascii="Calibri" w:eastAsia="Calibri" w:hAnsi="Calibri" w:cs="Times New Roman"/>
      <w:sz w:val="20"/>
      <w:szCs w:val="20"/>
      <w:lang w:val="pt-PT" w:eastAsia="x-none"/>
    </w:rPr>
  </w:style>
  <w:style w:type="paragraph" w:customStyle="1" w:styleId="Bulletpoints">
    <w:name w:val="Bullet points"/>
    <w:basedOn w:val="Normal"/>
    <w:rsid w:val="00CE0BD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1074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5</cp:revision>
  <dcterms:created xsi:type="dcterms:W3CDTF">2017-06-15T13:02:00Z</dcterms:created>
  <dcterms:modified xsi:type="dcterms:W3CDTF">2018-09-07T00:11:00Z</dcterms:modified>
</cp:coreProperties>
</file>